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E6" w:rsidRDefault="008270E6" w:rsidP="008270E6">
      <w:pPr>
        <w:spacing w:before="240" w:after="120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«Выдача справки лицам, не завершившим техническое и профессиональное,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послесреднее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образование»</w:t>
      </w:r>
    </w:p>
    <w:p w:rsidR="008270E6" w:rsidRDefault="008270E6" w:rsidP="008270E6">
      <w:pPr>
        <w:spacing w:before="240" w:after="120"/>
        <w:jc w:val="center"/>
      </w:pPr>
      <w:bookmarkStart w:id="0" w:name="60"/>
      <w:bookmarkEnd w:id="0"/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8270E6" w:rsidRDefault="008270E6" w:rsidP="008270E6">
      <w:pPr>
        <w:spacing w:before="120"/>
        <w:ind w:firstLine="705"/>
        <w:jc w:val="both"/>
      </w:pPr>
      <w:bookmarkStart w:id="1" w:name="61"/>
      <w:bookmarkEnd w:id="1"/>
      <w:r>
        <w:rPr>
          <w:rFonts w:ascii="Times New Roman" w:eastAsia="Times New Roman" w:hAnsi="Times New Roman" w:cs="Times New Roman"/>
          <w:color w:val="000000"/>
          <w:sz w:val="24"/>
        </w:rPr>
        <w:t xml:space="preserve">1. Государственная услуга «Выдача справки лицам, не завершившим техническое и профессиональное,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образование» </w:t>
      </w:r>
      <w: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- государственная услуга) услуга оказывается организациями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). </w:t>
      </w:r>
    </w:p>
    <w:p w:rsidR="008270E6" w:rsidRDefault="008270E6" w:rsidP="008270E6">
      <w:pPr>
        <w:spacing w:before="120"/>
        <w:ind w:firstLine="705"/>
        <w:jc w:val="both"/>
      </w:pPr>
      <w:bookmarkStart w:id="2" w:name="62"/>
      <w:bookmarkEnd w:id="2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Прием заявления и выдача результатов оказания государственной услуги осуществляются через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8270E6" w:rsidRDefault="008270E6" w:rsidP="008270E6">
      <w:pPr>
        <w:spacing w:before="120"/>
        <w:ind w:firstLine="705"/>
        <w:jc w:val="both"/>
      </w:pPr>
      <w:bookmarkStart w:id="3" w:name="63"/>
      <w:bookmarkEnd w:id="3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услуги: бумажная.</w:t>
      </w:r>
    </w:p>
    <w:p w:rsidR="008270E6" w:rsidRDefault="008270E6" w:rsidP="008270E6">
      <w:pPr>
        <w:spacing w:before="120"/>
        <w:ind w:firstLine="705"/>
        <w:jc w:val="both"/>
      </w:pPr>
      <w:bookmarkStart w:id="4" w:name="64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 оказания государственной услуги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справка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выдаваемая лицам,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незавершившим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техническое и профессиональное,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послесреднее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образование по форме согласно </w:t>
      </w:r>
      <w:hyperlink r:id="rId4" w:anchor="4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1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к стандарту государственной услуги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«Выдача справки лицам, не завершившим техническое и профессиональное,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образование», утверждённому приказом исполняющего обязанности Министра образования и науки Республики Казахстан от 6 ноября 2015 года № 627 (зарегистрированным в Реестре государственной регистрации нормативных правовых актов за номером 12417) (далее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Стандарт).</w:t>
      </w:r>
      <w:proofErr w:type="gramEnd"/>
    </w:p>
    <w:p w:rsidR="008270E6" w:rsidRDefault="008270E6" w:rsidP="008270E6">
      <w:pPr>
        <w:spacing w:before="120"/>
        <w:ind w:firstLine="705"/>
        <w:jc w:val="both"/>
      </w:pPr>
      <w:bookmarkStart w:id="5" w:name="65"/>
      <w:bookmarkEnd w:id="5"/>
      <w:r>
        <w:rPr>
          <w:rFonts w:ascii="Times New Roman" w:eastAsia="Times New Roman" w:hAnsi="Times New Roman" w:cs="Times New Roman"/>
          <w:color w:val="000000"/>
          <w:sz w:val="24"/>
        </w:rPr>
        <w:t>Форма предоставления результата оказания государственной услуги: бумажная.</w:t>
      </w:r>
    </w:p>
    <w:p w:rsidR="008270E6" w:rsidRDefault="008270E6" w:rsidP="008270E6">
      <w:pPr>
        <w:spacing w:before="240" w:after="120"/>
        <w:jc w:val="center"/>
      </w:pPr>
      <w:bookmarkStart w:id="6" w:name="66"/>
      <w:bookmarkEnd w:id="6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8270E6" w:rsidRDefault="008270E6" w:rsidP="008270E6">
      <w:pPr>
        <w:spacing w:before="120"/>
        <w:ind w:firstLine="705"/>
        <w:jc w:val="both"/>
      </w:pPr>
      <w:bookmarkStart w:id="7" w:name="67"/>
      <w:bookmarkEnd w:id="7"/>
      <w:r>
        <w:rPr>
          <w:rFonts w:ascii="Times New Roman" w:eastAsia="Times New Roman" w:hAnsi="Times New Roman" w:cs="Times New Roman"/>
          <w:color w:val="000000"/>
          <w:sz w:val="24"/>
        </w:rPr>
        <w:t xml:space="preserve">4. Основанием для начала процедуры (действия) по </w:t>
      </w:r>
      <w:r>
        <w:rPr>
          <w:rFonts w:ascii="Times New Roman" w:eastAsia="Times New Roman" w:hAnsi="Times New Roman" w:cs="Times New Roman"/>
          <w:color w:val="000000"/>
          <w:sz w:val="28"/>
        </w:rPr>
        <w:t>оказанию государственной услуги,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является наличие заявления (в произвольной форме)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документов согласно </w:t>
      </w:r>
      <w:hyperlink r:id="rId5" w:anchor="4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Стандарта.</w:t>
      </w:r>
    </w:p>
    <w:p w:rsidR="008270E6" w:rsidRDefault="008270E6" w:rsidP="008270E6">
      <w:pPr>
        <w:spacing w:before="120"/>
        <w:ind w:firstLine="705"/>
        <w:jc w:val="both"/>
      </w:pPr>
      <w:bookmarkStart w:id="8" w:name="68"/>
      <w:bookmarkEnd w:id="8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8270E6" w:rsidRDefault="008270E6" w:rsidP="008270E6">
      <w:pPr>
        <w:spacing w:before="120"/>
        <w:ind w:firstLine="705"/>
        <w:jc w:val="both"/>
      </w:pPr>
      <w:bookmarkStart w:id="9" w:name="69"/>
      <w:bookmarkEnd w:id="9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 прием и регистрацию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30 (тридцать) минут;</w:t>
      </w:r>
    </w:p>
    <w:p w:rsidR="008270E6" w:rsidRDefault="008270E6" w:rsidP="008270E6">
      <w:pPr>
        <w:spacing w:before="120"/>
        <w:ind w:firstLine="705"/>
        <w:jc w:val="both"/>
      </w:pPr>
      <w:bookmarkStart w:id="10" w:name="70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рассматривает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передает их сотруднику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исполнение. Длительность выполнения – 20 (двадцать) минут;</w:t>
      </w:r>
    </w:p>
    <w:p w:rsidR="008270E6" w:rsidRDefault="008270E6" w:rsidP="008270E6">
      <w:pPr>
        <w:spacing w:before="120"/>
        <w:ind w:firstLine="705"/>
        <w:jc w:val="both"/>
      </w:pPr>
      <w:bookmarkStart w:id="11" w:name="71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3 –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проверяет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соответствие предъявляемым требованиям, предусмотренным </w:t>
      </w:r>
      <w:hyperlink r:id="rId6" w:anchor="4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подготавливает справку и передает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 (два) рабочих дня;</w:t>
      </w:r>
    </w:p>
    <w:p w:rsidR="008270E6" w:rsidRDefault="008270E6" w:rsidP="008270E6">
      <w:pPr>
        <w:spacing w:before="120"/>
        <w:ind w:firstLine="705"/>
        <w:jc w:val="both"/>
      </w:pPr>
      <w:bookmarkStart w:id="12" w:name="72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4 –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подписывает справку и передает в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20 (двадцать) минут;</w:t>
      </w:r>
    </w:p>
    <w:p w:rsidR="008270E6" w:rsidRDefault="008270E6" w:rsidP="008270E6">
      <w:pPr>
        <w:spacing w:before="120"/>
        <w:ind w:firstLine="705"/>
        <w:jc w:val="both"/>
      </w:pPr>
      <w:bookmarkStart w:id="13" w:name="73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5 –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передает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 оказания государственной услуги. Длительность выполнения – 15 (пятнадцать) минут. </w:t>
      </w:r>
    </w:p>
    <w:p w:rsidR="008270E6" w:rsidRDefault="008270E6" w:rsidP="008270E6">
      <w:pPr>
        <w:spacing w:before="120"/>
        <w:ind w:firstLine="705"/>
        <w:jc w:val="both"/>
      </w:pPr>
      <w:bookmarkStart w:id="14" w:name="74"/>
      <w:bookmarkEnd w:id="14"/>
      <w:r>
        <w:rPr>
          <w:rFonts w:ascii="Times New Roman" w:eastAsia="Times New Roman" w:hAnsi="Times New Roman" w:cs="Times New Roman"/>
          <w:color w:val="000000"/>
          <w:sz w:val="24"/>
        </w:rPr>
        <w:t xml:space="preserve">Срок оказания государственной услуги с момента сдачи пакета документов обучающихся в организациях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3 (три) рабочих дня.</w:t>
      </w:r>
    </w:p>
    <w:p w:rsidR="008270E6" w:rsidRDefault="008270E6" w:rsidP="008270E6">
      <w:pPr>
        <w:spacing w:before="120"/>
        <w:ind w:firstLine="705"/>
        <w:jc w:val="both"/>
      </w:pPr>
      <w:bookmarkStart w:id="15" w:name="75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 xml:space="preserve">6. Результатом процедуры (действия) по оказанию государственной услуги по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действию 1, указанному в пункте 5 настоящего Регламента, являются зарегистрированные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которые служат основанием для начала выполнения действия 2, указанного в пункте 5 настоящего Регламента. </w:t>
      </w:r>
    </w:p>
    <w:p w:rsidR="008270E6" w:rsidRDefault="008270E6" w:rsidP="008270E6">
      <w:pPr>
        <w:spacing w:before="120"/>
        <w:ind w:firstLine="705"/>
        <w:jc w:val="both"/>
      </w:pPr>
      <w:bookmarkStart w:id="16" w:name="76"/>
      <w:bookmarkEnd w:id="16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2, указанного в пункте 5 настоящего Регламента, являются завизированные документы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которые служат основанием для начала выполнения действия 3, указанного в пункте 5 настоящего Регламента. </w:t>
      </w:r>
    </w:p>
    <w:p w:rsidR="008270E6" w:rsidRDefault="008270E6" w:rsidP="008270E6">
      <w:pPr>
        <w:spacing w:before="120"/>
        <w:ind w:firstLine="705"/>
        <w:jc w:val="both"/>
      </w:pPr>
      <w:bookmarkStart w:id="17" w:name="77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3, указанного в пункте 5 настоящего Регламента, является подготовленная справка, которая служит основанием для начала выполнения действия 4, указанного в пункте 5 настоящего Регламента. </w:t>
      </w:r>
    </w:p>
    <w:p w:rsidR="008270E6" w:rsidRDefault="008270E6" w:rsidP="008270E6">
      <w:pPr>
        <w:spacing w:before="120"/>
        <w:ind w:firstLine="705"/>
        <w:jc w:val="both"/>
      </w:pPr>
      <w:bookmarkStart w:id="18" w:name="78"/>
      <w:bookmarkEnd w:id="18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4, указанного в пункте 5 настоящего Регламента, является подписанная справка, которая служит основанием для начала выполнения действия 5, указанного в пункте 5 настоящего Регламента. </w:t>
      </w:r>
    </w:p>
    <w:p w:rsidR="008270E6" w:rsidRDefault="008270E6" w:rsidP="008270E6">
      <w:pPr>
        <w:spacing w:before="120"/>
        <w:ind w:firstLine="705"/>
        <w:jc w:val="both"/>
      </w:pPr>
      <w:bookmarkStart w:id="19" w:name="79"/>
      <w:bookmarkEnd w:id="19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5, указанного в пункте 5 настоящего Регламента, является выдача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270E6" w:rsidRDefault="008270E6" w:rsidP="008270E6">
      <w:pPr>
        <w:spacing w:before="240" w:after="120"/>
        <w:jc w:val="center"/>
      </w:pPr>
      <w:bookmarkStart w:id="20" w:name="80"/>
      <w:bookmarkEnd w:id="20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8270E6" w:rsidRDefault="008270E6" w:rsidP="008270E6">
      <w:pPr>
        <w:spacing w:before="120"/>
        <w:ind w:firstLine="705"/>
        <w:jc w:val="both"/>
      </w:pPr>
      <w:bookmarkStart w:id="21" w:name="81"/>
      <w:bookmarkEnd w:id="21"/>
      <w:r>
        <w:rPr>
          <w:rFonts w:ascii="Times New Roman" w:eastAsia="Times New Roman" w:hAnsi="Times New Roman" w:cs="Times New Roman"/>
          <w:color w:val="000000"/>
          <w:sz w:val="24"/>
        </w:rPr>
        <w:t xml:space="preserve">7. Перечень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участвуют в процессе оказания государственной услуги:</w:t>
      </w:r>
    </w:p>
    <w:p w:rsidR="008270E6" w:rsidRDefault="008270E6" w:rsidP="008270E6">
      <w:pPr>
        <w:spacing w:before="120"/>
        <w:ind w:firstLine="705"/>
        <w:jc w:val="both"/>
      </w:pPr>
      <w:bookmarkStart w:id="22" w:name="82"/>
      <w:bookmarkEnd w:id="22"/>
      <w:r>
        <w:rPr>
          <w:rFonts w:ascii="Times New Roman" w:eastAsia="Times New Roman" w:hAnsi="Times New Roman" w:cs="Times New Roman"/>
          <w:color w:val="000000"/>
          <w:sz w:val="24"/>
        </w:rPr>
        <w:t xml:space="preserve">1)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8270E6" w:rsidRDefault="008270E6" w:rsidP="008270E6">
      <w:pPr>
        <w:spacing w:before="120"/>
        <w:ind w:firstLine="705"/>
        <w:jc w:val="both"/>
      </w:pPr>
      <w:bookmarkStart w:id="23" w:name="83"/>
      <w:bookmarkEnd w:id="23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8270E6" w:rsidRDefault="008270E6" w:rsidP="008270E6">
      <w:pPr>
        <w:spacing w:before="120"/>
        <w:ind w:firstLine="705"/>
        <w:jc w:val="both"/>
      </w:pPr>
      <w:bookmarkStart w:id="24" w:name="84"/>
      <w:bookmarkEnd w:id="24"/>
      <w:r>
        <w:rPr>
          <w:rFonts w:ascii="Times New Roman" w:eastAsia="Times New Roman" w:hAnsi="Times New Roman" w:cs="Times New Roman"/>
          <w:color w:val="000000"/>
          <w:sz w:val="24"/>
        </w:rPr>
        <w:t xml:space="preserve">3)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270E6" w:rsidRDefault="008270E6" w:rsidP="008270E6">
      <w:pPr>
        <w:spacing w:before="120"/>
        <w:ind w:firstLine="705"/>
        <w:jc w:val="both"/>
      </w:pPr>
      <w:bookmarkStart w:id="25" w:name="85"/>
      <w:bookmarkEnd w:id="25"/>
      <w:r>
        <w:rPr>
          <w:rFonts w:ascii="Times New Roman" w:eastAsia="Times New Roman" w:hAnsi="Times New Roman" w:cs="Times New Roman"/>
          <w:color w:val="000000"/>
          <w:sz w:val="24"/>
        </w:rPr>
        <w:t>8. Описание процедур (действий), необходимых для оказания государственной услуги:</w:t>
      </w:r>
    </w:p>
    <w:p w:rsidR="008270E6" w:rsidRDefault="008270E6" w:rsidP="008270E6">
      <w:pPr>
        <w:spacing w:before="120"/>
        <w:ind w:firstLine="705"/>
        <w:jc w:val="both"/>
      </w:pPr>
      <w:bookmarkStart w:id="26" w:name="86"/>
      <w:bookmarkEnd w:id="26"/>
      <w:r>
        <w:rPr>
          <w:rFonts w:ascii="Times New Roman" w:eastAsia="Times New Roman" w:hAnsi="Times New Roman" w:cs="Times New Roman"/>
          <w:color w:val="000000"/>
          <w:sz w:val="24"/>
        </w:rPr>
        <w:t xml:space="preserve">1)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 прием и регистрацию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30 (тридцать) минут;</w:t>
      </w:r>
    </w:p>
    <w:p w:rsidR="008270E6" w:rsidRDefault="008270E6" w:rsidP="008270E6">
      <w:pPr>
        <w:spacing w:before="120"/>
        <w:ind w:firstLine="705"/>
        <w:jc w:val="both"/>
      </w:pPr>
      <w:bookmarkStart w:id="27" w:name="87"/>
      <w:bookmarkEnd w:id="27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рассматривает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передает их сотруднику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исполнение. Длительность выполнения – 20 (двадцать) минут;</w:t>
      </w:r>
    </w:p>
    <w:p w:rsidR="008270E6" w:rsidRDefault="008270E6" w:rsidP="008270E6">
      <w:pPr>
        <w:spacing w:before="120"/>
        <w:ind w:firstLine="705"/>
        <w:jc w:val="both"/>
      </w:pPr>
      <w:bookmarkStart w:id="28" w:name="88"/>
      <w:bookmarkEnd w:id="28"/>
      <w:r>
        <w:rPr>
          <w:rFonts w:ascii="Times New Roman" w:eastAsia="Times New Roman" w:hAnsi="Times New Roman" w:cs="Times New Roman"/>
          <w:color w:val="000000"/>
          <w:sz w:val="24"/>
        </w:rPr>
        <w:t xml:space="preserve">3)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проверяет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соответствие предъявляемым требованиям, предусмотренным </w:t>
      </w:r>
      <w:hyperlink r:id="rId7" w:anchor="4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подготавливает справку и передает руководителю. Длительность выполнения – 2 (два) рабочих дня;</w:t>
      </w:r>
    </w:p>
    <w:p w:rsidR="008270E6" w:rsidRDefault="008270E6" w:rsidP="008270E6">
      <w:pPr>
        <w:spacing w:before="120"/>
        <w:ind w:firstLine="705"/>
        <w:jc w:val="both"/>
      </w:pPr>
      <w:bookmarkStart w:id="29" w:name="89"/>
      <w:bookmarkEnd w:id="29"/>
      <w:r>
        <w:rPr>
          <w:rFonts w:ascii="Times New Roman" w:eastAsia="Times New Roman" w:hAnsi="Times New Roman" w:cs="Times New Roman"/>
          <w:color w:val="000000"/>
          <w:sz w:val="24"/>
        </w:rPr>
        <w:t xml:space="preserve">4)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подписывает справку и передает в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20 (двадцать) минут;</w:t>
      </w:r>
    </w:p>
    <w:p w:rsidR="008270E6" w:rsidRDefault="008270E6" w:rsidP="008270E6">
      <w:pPr>
        <w:spacing w:before="120"/>
        <w:ind w:firstLine="705"/>
        <w:jc w:val="both"/>
      </w:pPr>
      <w:bookmarkStart w:id="30" w:name="90"/>
      <w:bookmarkEnd w:id="30"/>
      <w:r>
        <w:rPr>
          <w:rFonts w:ascii="Times New Roman" w:eastAsia="Times New Roman" w:hAnsi="Times New Roman" w:cs="Times New Roman"/>
          <w:color w:val="000000"/>
          <w:sz w:val="24"/>
        </w:rPr>
        <w:t xml:space="preserve">5)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передает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 оказания государственной услуги. Длительность выполнения – 15 (пятнадцать) минут. </w:t>
      </w:r>
    </w:p>
    <w:p w:rsidR="008270E6" w:rsidRDefault="008270E6" w:rsidP="008270E6">
      <w:pPr>
        <w:spacing w:before="120"/>
        <w:ind w:firstLine="705"/>
        <w:jc w:val="both"/>
      </w:pPr>
      <w:bookmarkStart w:id="31" w:name="91"/>
      <w:bookmarkEnd w:id="31"/>
      <w:r>
        <w:rPr>
          <w:rFonts w:ascii="Times New Roman" w:eastAsia="Times New Roman" w:hAnsi="Times New Roman" w:cs="Times New Roman"/>
          <w:color w:val="000000"/>
          <w:sz w:val="24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оказания государственной услуги, а также описание порядка взаимодействия с иными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отражается в справочнике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бизнес–процессов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оказания государственной услуги согласно </w:t>
      </w:r>
      <w:hyperlink r:id="rId8" w:anchor="9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бизнес–процессов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оказания государственной услуги размещается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«электронного правительства», интернет–ресурсе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11FF7" w:rsidRDefault="008270E6">
      <w:bookmarkStart w:id="32" w:name="92"/>
      <w:bookmarkEnd w:id="32"/>
    </w:p>
    <w:sectPr w:rsidR="00411FF7" w:rsidSect="009E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270E6"/>
    <w:rsid w:val="00387FEE"/>
    <w:rsid w:val="003F484D"/>
    <w:rsid w:val="008270E6"/>
    <w:rsid w:val="009E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E6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6V00045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pa:V15000124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pa:V1500012417" TargetMode="External"/><Relationship Id="rId5" Type="http://schemas.openxmlformats.org/officeDocument/2006/relationships/hyperlink" Target="npa:V1500012417" TargetMode="External"/><Relationship Id="rId10" Type="http://schemas.openxmlformats.org/officeDocument/2006/relationships/theme" Target="theme/theme1.xml"/><Relationship Id="rId4" Type="http://schemas.openxmlformats.org/officeDocument/2006/relationships/hyperlink" Target="npa:V15000124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2018-03-14T02:53:00Z</dcterms:created>
  <dcterms:modified xsi:type="dcterms:W3CDTF">2018-03-14T02:53:00Z</dcterms:modified>
</cp:coreProperties>
</file>